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DAD5A" w14:textId="77777777" w:rsidR="008757B5" w:rsidRPr="008272C1" w:rsidRDefault="00000000" w:rsidP="00845E87">
      <w:pPr>
        <w:pStyle w:val="Kicker"/>
        <w:jc w:val="right"/>
        <w:rPr>
          <w:rFonts w:cs="Arial"/>
          <w:color w:val="auto"/>
          <w:lang w:val="pt-BR"/>
        </w:rPr>
      </w:pPr>
      <w:r w:rsidRPr="008272C1">
        <w:rPr>
          <w:rFonts w:cs="Arial"/>
          <w:color w:val="auto"/>
          <w:lang w:val="pt-BR"/>
        </w:rPr>
        <w:t>NOTA TÉCNICA | SETEMBRO DE 2026</w:t>
      </w:r>
    </w:p>
    <w:p w14:paraId="49400F2A" w14:textId="77777777" w:rsidR="008757B5" w:rsidRPr="00E03934" w:rsidRDefault="00000000" w:rsidP="00845E87">
      <w:pPr>
        <w:pStyle w:val="MainTitle"/>
        <w:jc w:val="right"/>
        <w:rPr>
          <w:rFonts w:cs="Arial"/>
          <w:color w:val="auto"/>
          <w:sz w:val="36"/>
          <w:szCs w:val="36"/>
          <w:lang w:val="pt-BR"/>
        </w:rPr>
      </w:pPr>
      <w:r w:rsidRPr="00E03934">
        <w:rPr>
          <w:rFonts w:cs="Arial"/>
          <w:color w:val="auto"/>
          <w:sz w:val="36"/>
          <w:szCs w:val="36"/>
          <w:lang w:val="pt-BR"/>
        </w:rPr>
        <w:t>IBGE atualiza PAM e PEVS e amplia a cobertura de produtos agrícolas e da sociobiodiversidade</w:t>
      </w:r>
    </w:p>
    <w:p w14:paraId="3992A450" w14:textId="77777777" w:rsidR="008757B5" w:rsidRPr="00AC5D21" w:rsidRDefault="00000000" w:rsidP="00D4407F">
      <w:pPr>
        <w:pStyle w:val="Deck"/>
        <w:pBdr>
          <w:bottom w:val="single" w:sz="12" w:space="1" w:color="00635A"/>
        </w:pBdr>
        <w:jc w:val="right"/>
        <w:rPr>
          <w:rFonts w:cs="Arial"/>
          <w:color w:val="auto"/>
          <w:lang w:val="pt-BR"/>
        </w:rPr>
      </w:pPr>
      <w:r w:rsidRPr="00AC5D21">
        <w:rPr>
          <w:rFonts w:cs="Arial"/>
          <w:color w:val="auto"/>
          <w:lang w:val="pt-BR"/>
        </w:rPr>
        <w:t>Mudanças valem a partir do ano de referência 2025 e exigem atenção na comparação das séries históricas.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18"/>
        <w:gridCol w:w="2272"/>
        <w:gridCol w:w="3173"/>
      </w:tblGrid>
      <w:tr w:rsidR="008757B5" w:rsidRPr="005B6A87" w14:paraId="2BADC920" w14:textId="77777777" w:rsidTr="00D4407F">
        <w:trPr>
          <w:trHeight w:val="335"/>
          <w:jc w:val="center"/>
        </w:trPr>
        <w:tc>
          <w:tcPr>
            <w:tcW w:w="3418" w:type="dxa"/>
            <w:shd w:val="clear" w:color="auto" w:fill="EAF1ED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49B653AC" w14:textId="77777777" w:rsidR="008757B5" w:rsidRPr="00AC5D21" w:rsidRDefault="00000000" w:rsidP="00845E87">
            <w:pPr>
              <w:spacing w:after="0" w:line="240" w:lineRule="auto"/>
              <w:jc w:val="center"/>
              <w:rPr>
                <w:rFonts w:cs="Arial"/>
                <w:color w:val="auto"/>
                <w:lang w:val="pt-BR"/>
              </w:rPr>
            </w:pPr>
            <w:r w:rsidRPr="00AC5D21">
              <w:rPr>
                <w:rFonts w:cs="Arial"/>
                <w:b/>
                <w:color w:val="auto"/>
                <w:sz w:val="38"/>
                <w:lang w:val="pt-BR"/>
              </w:rPr>
              <w:t>70</w:t>
            </w:r>
          </w:p>
          <w:p w14:paraId="72B4D9AE" w14:textId="6907C476" w:rsidR="008757B5" w:rsidRPr="00AC5D21" w:rsidRDefault="00000000" w:rsidP="00845E87">
            <w:pPr>
              <w:spacing w:after="0" w:line="240" w:lineRule="auto"/>
              <w:jc w:val="center"/>
              <w:rPr>
                <w:rFonts w:cs="Arial"/>
                <w:color w:val="auto"/>
                <w:lang w:val="pt-BR"/>
              </w:rPr>
            </w:pPr>
            <w:r w:rsidRPr="00AC5D21">
              <w:rPr>
                <w:rFonts w:cs="Arial"/>
                <w:color w:val="auto"/>
                <w:sz w:val="16"/>
                <w:lang w:val="pt-BR"/>
              </w:rPr>
              <w:t>produtos na PAM</w:t>
            </w:r>
            <w:r w:rsidR="00845E87" w:rsidRPr="00AC5D21">
              <w:rPr>
                <w:rFonts w:cs="Arial"/>
                <w:color w:val="auto"/>
                <w:sz w:val="16"/>
                <w:lang w:val="pt-BR"/>
              </w:rPr>
              <w:t xml:space="preserve"> </w:t>
            </w:r>
            <w:r w:rsidRPr="00AC5D21">
              <w:rPr>
                <w:rFonts w:cs="Arial"/>
                <w:color w:val="auto"/>
                <w:sz w:val="16"/>
                <w:lang w:val="pt-BR"/>
              </w:rPr>
              <w:t>a partir de 2025</w:t>
            </w:r>
          </w:p>
        </w:tc>
        <w:tc>
          <w:tcPr>
            <w:tcW w:w="2272" w:type="dxa"/>
            <w:shd w:val="clear" w:color="auto" w:fill="EAF1ED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F0FCD24" w14:textId="77777777" w:rsidR="008757B5" w:rsidRPr="00AC5D21" w:rsidRDefault="00000000" w:rsidP="00845E87">
            <w:pPr>
              <w:spacing w:after="0" w:line="240" w:lineRule="auto"/>
              <w:jc w:val="center"/>
              <w:rPr>
                <w:rFonts w:cs="Arial"/>
                <w:color w:val="auto"/>
                <w:lang w:val="pt-BR"/>
              </w:rPr>
            </w:pPr>
            <w:r w:rsidRPr="00AC5D21">
              <w:rPr>
                <w:rFonts w:cs="Arial"/>
                <w:b/>
                <w:color w:val="auto"/>
                <w:sz w:val="38"/>
                <w:lang w:val="pt-BR"/>
              </w:rPr>
              <w:t>46</w:t>
            </w:r>
          </w:p>
          <w:p w14:paraId="3C3DAB54" w14:textId="2B2E1363" w:rsidR="008757B5" w:rsidRPr="00AC5D21" w:rsidRDefault="00000000" w:rsidP="00845E87">
            <w:pPr>
              <w:spacing w:after="0" w:line="240" w:lineRule="auto"/>
              <w:jc w:val="center"/>
              <w:rPr>
                <w:rFonts w:cs="Arial"/>
                <w:color w:val="auto"/>
                <w:sz w:val="16"/>
                <w:lang w:val="pt-BR"/>
              </w:rPr>
            </w:pPr>
            <w:r w:rsidRPr="00AC5D21">
              <w:rPr>
                <w:rFonts w:cs="Arial"/>
                <w:color w:val="auto"/>
                <w:sz w:val="16"/>
                <w:lang w:val="pt-BR"/>
              </w:rPr>
              <w:t>produtos na PEVS</w:t>
            </w:r>
            <w:r w:rsidR="00845E87" w:rsidRPr="00AC5D21">
              <w:rPr>
                <w:rFonts w:cs="Arial"/>
                <w:color w:val="auto"/>
                <w:sz w:val="16"/>
                <w:lang w:val="pt-BR"/>
              </w:rPr>
              <w:t xml:space="preserve"> </w:t>
            </w:r>
            <w:r w:rsidRPr="00AC5D21">
              <w:rPr>
                <w:rFonts w:cs="Arial"/>
                <w:color w:val="auto"/>
                <w:sz w:val="16"/>
                <w:lang w:val="pt-BR"/>
              </w:rPr>
              <w:t>após a atualização</w:t>
            </w:r>
          </w:p>
        </w:tc>
        <w:tc>
          <w:tcPr>
            <w:tcW w:w="3173" w:type="dxa"/>
            <w:shd w:val="clear" w:color="auto" w:fill="F7F1E3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4E299C6" w14:textId="77777777" w:rsidR="008757B5" w:rsidRPr="00AC5D21" w:rsidRDefault="00000000" w:rsidP="00845E87">
            <w:pPr>
              <w:spacing w:after="0" w:line="240" w:lineRule="auto"/>
              <w:jc w:val="center"/>
              <w:rPr>
                <w:rFonts w:cs="Arial"/>
                <w:color w:val="auto"/>
                <w:lang w:val="pt-BR"/>
              </w:rPr>
            </w:pPr>
            <w:r w:rsidRPr="00AC5D21">
              <w:rPr>
                <w:rFonts w:cs="Arial"/>
                <w:b/>
                <w:color w:val="auto"/>
                <w:sz w:val="38"/>
                <w:lang w:val="pt-BR"/>
              </w:rPr>
              <w:t>2025</w:t>
            </w:r>
          </w:p>
          <w:p w14:paraId="2431F5C2" w14:textId="28768DDD" w:rsidR="008757B5" w:rsidRPr="00AC5D21" w:rsidRDefault="00000000" w:rsidP="00845E87">
            <w:pPr>
              <w:spacing w:after="0" w:line="240" w:lineRule="auto"/>
              <w:jc w:val="center"/>
              <w:rPr>
                <w:rFonts w:cs="Arial"/>
                <w:color w:val="auto"/>
                <w:lang w:val="pt-BR"/>
              </w:rPr>
            </w:pPr>
            <w:r w:rsidRPr="00AC5D21">
              <w:rPr>
                <w:rFonts w:cs="Arial"/>
                <w:color w:val="auto"/>
                <w:sz w:val="16"/>
                <w:lang w:val="pt-BR"/>
              </w:rPr>
              <w:t>primeiro ano das</w:t>
            </w:r>
            <w:r w:rsidR="00845E87" w:rsidRPr="00AC5D21">
              <w:rPr>
                <w:rFonts w:cs="Arial"/>
                <w:color w:val="auto"/>
                <w:sz w:val="16"/>
                <w:lang w:val="pt-BR"/>
              </w:rPr>
              <w:t xml:space="preserve"> </w:t>
            </w:r>
            <w:r w:rsidRPr="00AC5D21">
              <w:rPr>
                <w:rFonts w:cs="Arial"/>
                <w:color w:val="auto"/>
                <w:sz w:val="16"/>
                <w:lang w:val="pt-BR"/>
              </w:rPr>
              <w:t>novas séries</w:t>
            </w:r>
          </w:p>
        </w:tc>
      </w:tr>
    </w:tbl>
    <w:p w14:paraId="1F2DE549" w14:textId="77777777" w:rsidR="008757B5" w:rsidRPr="00AC5D21" w:rsidRDefault="00000000">
      <w:pPr>
        <w:pStyle w:val="Ttulo1"/>
        <w:rPr>
          <w:rFonts w:ascii="Arial" w:hAnsi="Arial" w:cs="Arial"/>
          <w:color w:val="auto"/>
          <w:lang w:val="pt-BR"/>
        </w:rPr>
      </w:pPr>
      <w:r w:rsidRPr="00AC5D21">
        <w:rPr>
          <w:rFonts w:ascii="Arial" w:hAnsi="Arial" w:cs="Arial"/>
          <w:color w:val="auto"/>
          <w:lang w:val="pt-BR"/>
        </w:rPr>
        <w:t>1. O que mudou nas pesquisas do IBGE</w:t>
      </w:r>
    </w:p>
    <w:p w14:paraId="3EC1D43F" w14:textId="77777777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2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O Instituto Brasileiro de Geografia e Estatística (IBGE) atualizou o elenco de produtos da Produção Agrícola Municipal (PAM) e da Pesquisa da Produção da Extração Vegetal e da Silvicultura (PEVS), com efeitos a partir do ano de referência 2025. Na PAM, o número de produtos divulgados passa de 64 para 70; na PEVS, de 45 para 46.</w:t>
      </w:r>
    </w:p>
    <w:p w14:paraId="2CF84D9A" w14:textId="77777777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0"/>
          <w:szCs w:val="20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A revisão responde a mudanças na relevância econômica e produtiva dos itens pesquisados. Na PEVS, o IBGE também priorizou produtos relacionados à Política de Garantia de Preços Mínimos para os Produtos da Sociobiodiversidade (PGPM-Bio) e selecionou outros produtos com receita superior a R$ 1 milhão, com base no ano de 2022.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98"/>
      </w:tblGrid>
      <w:tr w:rsidR="008757B5" w:rsidRPr="005B6A87" w14:paraId="5F8F7A8D" w14:textId="77777777">
        <w:trPr>
          <w:cantSplit/>
          <w:jc w:val="center"/>
        </w:trPr>
        <w:tc>
          <w:tcPr>
            <w:tcW w:w="10166" w:type="dxa"/>
            <w:shd w:val="clear" w:color="auto" w:fill="EAF1ED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CC5E92E" w14:textId="77777777" w:rsidR="008757B5" w:rsidRPr="00D4407F" w:rsidRDefault="00000000" w:rsidP="00845E87">
            <w:pPr>
              <w:spacing w:after="0"/>
              <w:jc w:val="both"/>
              <w:rPr>
                <w:rFonts w:cs="Arial"/>
                <w:color w:val="auto"/>
                <w:sz w:val="22"/>
                <w:lang w:val="pt-BR"/>
              </w:rPr>
            </w:pPr>
            <w:r w:rsidRPr="00D4407F">
              <w:rPr>
                <w:rFonts w:cs="Arial"/>
                <w:b/>
                <w:color w:val="auto"/>
                <w:sz w:val="22"/>
                <w:lang w:val="pt-BR"/>
              </w:rPr>
              <w:t xml:space="preserve">Leitura do Observatório: </w:t>
            </w:r>
            <w:r w:rsidRPr="00D4407F">
              <w:rPr>
                <w:rFonts w:cs="Arial"/>
                <w:color w:val="auto"/>
                <w:sz w:val="22"/>
                <w:lang w:val="pt-BR"/>
              </w:rPr>
              <w:t>A atualização amplia o detalhamento das estatísticas oficiais e abre novas possibilidades de acompanhamento da agricultura diversificada, do extrativismo vegetal, da silvicultura e de cadeias associadas à sociobiodiversidade.</w:t>
            </w:r>
          </w:p>
        </w:tc>
      </w:tr>
    </w:tbl>
    <w:p w14:paraId="7F8CCC03" w14:textId="77777777" w:rsidR="008757B5" w:rsidRPr="00AC5D21" w:rsidRDefault="00000000">
      <w:pPr>
        <w:pStyle w:val="Ttulo1"/>
        <w:rPr>
          <w:rFonts w:ascii="Arial" w:hAnsi="Arial" w:cs="Arial"/>
          <w:color w:val="auto"/>
          <w:lang w:val="pt-BR"/>
        </w:rPr>
      </w:pPr>
      <w:r w:rsidRPr="00AC5D21">
        <w:rPr>
          <w:rFonts w:ascii="Arial" w:hAnsi="Arial" w:cs="Arial"/>
          <w:color w:val="auto"/>
          <w:lang w:val="pt-BR"/>
        </w:rPr>
        <w:t>2. Novos produtos na PAM e na PEVS</w:t>
      </w:r>
    </w:p>
    <w:p w14:paraId="577B839A" w14:textId="0431C30C" w:rsidR="008757B5" w:rsidRPr="00AC5D21" w:rsidRDefault="00000000">
      <w:pPr>
        <w:pStyle w:val="Ttulo2"/>
        <w:rPr>
          <w:rFonts w:ascii="Arial" w:hAnsi="Arial" w:cs="Arial"/>
          <w:color w:val="auto"/>
          <w:lang w:val="pt-BR"/>
        </w:rPr>
      </w:pPr>
      <w:r w:rsidRPr="00AC5D21">
        <w:rPr>
          <w:rFonts w:ascii="Arial" w:hAnsi="Arial" w:cs="Arial"/>
          <w:color w:val="auto"/>
          <w:lang w:val="pt-BR"/>
        </w:rPr>
        <w:t xml:space="preserve">2.1 Produção Agrícola Municipal </w:t>
      </w:r>
      <w:r w:rsidR="00A15A97">
        <w:rPr>
          <w:rFonts w:ascii="Arial" w:hAnsi="Arial" w:cs="Arial"/>
          <w:color w:val="auto"/>
          <w:lang w:val="pt-BR"/>
        </w:rPr>
        <w:t>–</w:t>
      </w:r>
      <w:r w:rsidRPr="00AC5D21">
        <w:rPr>
          <w:rFonts w:ascii="Arial" w:hAnsi="Arial" w:cs="Arial"/>
          <w:color w:val="auto"/>
          <w:lang w:val="pt-BR"/>
        </w:rPr>
        <w:t xml:space="preserve"> PAM</w:t>
      </w:r>
    </w:p>
    <w:p w14:paraId="3874962B" w14:textId="77777777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2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Nas lavouras temporárias, o elenco passa de 31 para 37 produtos. As lavouras permanentes permanecem com 33 produtos, mas com alteração de composição.</w:t>
      </w:r>
    </w:p>
    <w:tbl>
      <w:tblPr>
        <w:tblStyle w:val="Tabelacomgrade"/>
        <w:tblW w:w="8907" w:type="dxa"/>
        <w:jc w:val="center"/>
        <w:tblLook w:val="04A0" w:firstRow="1" w:lastRow="0" w:firstColumn="1" w:lastColumn="0" w:noHBand="0" w:noVBand="1"/>
      </w:tblPr>
      <w:tblGrid>
        <w:gridCol w:w="1764"/>
        <w:gridCol w:w="2024"/>
        <w:gridCol w:w="5119"/>
      </w:tblGrid>
      <w:tr w:rsidR="008757B5" w:rsidRPr="00AC5D21" w14:paraId="7047A345" w14:textId="77777777" w:rsidTr="00A15A97">
        <w:trPr>
          <w:cantSplit/>
          <w:tblHeader/>
          <w:jc w:val="center"/>
        </w:trPr>
        <w:tc>
          <w:tcPr>
            <w:tcW w:w="1764" w:type="dxa"/>
            <w:shd w:val="clear" w:color="auto" w:fill="184E3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B1C6AF" w14:textId="77777777" w:rsidR="008757B5" w:rsidRPr="00AC5D21" w:rsidRDefault="00000000">
            <w:pPr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b/>
                <w:color w:val="auto"/>
                <w:sz w:val="20"/>
                <w:szCs w:val="20"/>
                <w:lang w:val="pt-BR"/>
              </w:rPr>
              <w:t>Grupo</w:t>
            </w:r>
          </w:p>
        </w:tc>
        <w:tc>
          <w:tcPr>
            <w:tcW w:w="2024" w:type="dxa"/>
            <w:shd w:val="clear" w:color="auto" w:fill="184E3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E202A54" w14:textId="77777777" w:rsidR="008757B5" w:rsidRPr="00AC5D21" w:rsidRDefault="00000000">
            <w:pPr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b/>
                <w:color w:val="auto"/>
                <w:sz w:val="20"/>
                <w:szCs w:val="20"/>
                <w:lang w:val="pt-BR"/>
              </w:rPr>
              <w:t>Produtos retirados</w:t>
            </w:r>
          </w:p>
        </w:tc>
        <w:tc>
          <w:tcPr>
            <w:tcW w:w="5119" w:type="dxa"/>
            <w:shd w:val="clear" w:color="auto" w:fill="184E3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048AA4" w14:textId="77777777" w:rsidR="008757B5" w:rsidRPr="00AC5D21" w:rsidRDefault="00000000">
            <w:pPr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b/>
                <w:color w:val="auto"/>
                <w:sz w:val="20"/>
                <w:szCs w:val="20"/>
                <w:lang w:val="pt-BR"/>
              </w:rPr>
              <w:t>Produtos incluídos</w:t>
            </w:r>
          </w:p>
        </w:tc>
      </w:tr>
      <w:tr w:rsidR="008757B5" w:rsidRPr="005B6A87" w14:paraId="0B19CCBB" w14:textId="77777777" w:rsidTr="00A15A97">
        <w:trPr>
          <w:cantSplit/>
          <w:jc w:val="center"/>
        </w:trPr>
        <w:tc>
          <w:tcPr>
            <w:tcW w:w="1764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4F8B46" w14:textId="77777777" w:rsidR="008757B5" w:rsidRPr="00AC5D21" w:rsidRDefault="00000000">
            <w:pPr>
              <w:spacing w:after="0"/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t>Lavouras temporárias</w:t>
            </w:r>
          </w:p>
        </w:tc>
        <w:tc>
          <w:tcPr>
            <w:tcW w:w="2024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9EC3FD" w14:textId="77777777" w:rsidR="008757B5" w:rsidRPr="00AC5D21" w:rsidRDefault="00000000">
            <w:pPr>
              <w:spacing w:after="0"/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t>Centeio; Ervilha; Juta; Linho; Rami</w:t>
            </w:r>
          </w:p>
        </w:tc>
        <w:tc>
          <w:tcPr>
            <w:tcW w:w="5119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D1864C" w14:textId="77777777" w:rsidR="008757B5" w:rsidRPr="00AC5D21" w:rsidRDefault="00000000">
            <w:pPr>
              <w:spacing w:after="0"/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t>Abóbora; Alface; Pimentão; Milho verde; Morango; Chuchu; Repolho; Cenoura; Inhame; Gergelim; Canola</w:t>
            </w:r>
          </w:p>
        </w:tc>
      </w:tr>
      <w:tr w:rsidR="008757B5" w:rsidRPr="00AC5D21" w14:paraId="7082BF3D" w14:textId="77777777" w:rsidTr="00A15A97">
        <w:trPr>
          <w:cantSplit/>
          <w:jc w:val="center"/>
        </w:trPr>
        <w:tc>
          <w:tcPr>
            <w:tcW w:w="1764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CFE178" w14:textId="77777777" w:rsidR="008757B5" w:rsidRPr="00AC5D21" w:rsidRDefault="00000000">
            <w:pPr>
              <w:spacing w:after="0"/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t>Lavouras permanentes</w:t>
            </w:r>
          </w:p>
        </w:tc>
        <w:tc>
          <w:tcPr>
            <w:tcW w:w="2024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09B9FE" w14:textId="77777777" w:rsidR="008757B5" w:rsidRPr="00AC5D21" w:rsidRDefault="00000000">
            <w:pPr>
              <w:spacing w:after="0"/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t>Chá-da-Índia; Marmelo; Tungue</w:t>
            </w:r>
          </w:p>
        </w:tc>
        <w:tc>
          <w:tcPr>
            <w:tcW w:w="5119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3139C9" w14:textId="77777777" w:rsidR="008757B5" w:rsidRPr="00AC5D21" w:rsidRDefault="00000000">
            <w:pPr>
              <w:spacing w:after="0"/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t>Acerola; Cupuaçu; Graviola</w:t>
            </w:r>
          </w:p>
        </w:tc>
      </w:tr>
    </w:tbl>
    <w:p w14:paraId="62EF84AA" w14:textId="5A65B15C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2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Para a exclusão de produtos, o IBGE considerou sua influência na Unidade da Federação e nos municípios, além da proporção de municípios informantes. Para a inclusão, utilizou o banco de dados do Levantamento Sistemático da Produção Agrícola (LSPA). A seleção também empregou Random Forest, Support Vector Machine (Gaussian) e rede neural convolucional (CNN).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98"/>
      </w:tblGrid>
      <w:tr w:rsidR="008757B5" w:rsidRPr="005B6A87" w14:paraId="285479B4" w14:textId="77777777" w:rsidTr="00845E87">
        <w:trPr>
          <w:cantSplit/>
          <w:trHeight w:val="55"/>
          <w:jc w:val="center"/>
        </w:trPr>
        <w:tc>
          <w:tcPr>
            <w:tcW w:w="10166" w:type="dxa"/>
            <w:shd w:val="clear" w:color="auto" w:fill="EAF1ED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9C15131" w14:textId="77777777" w:rsidR="008757B5" w:rsidRPr="00D4407F" w:rsidRDefault="00000000" w:rsidP="00D4407F">
            <w:pPr>
              <w:spacing w:after="0"/>
              <w:jc w:val="right"/>
              <w:rPr>
                <w:rFonts w:cs="Arial"/>
                <w:color w:val="auto"/>
                <w:sz w:val="22"/>
                <w:lang w:val="pt-BR"/>
              </w:rPr>
            </w:pPr>
            <w:r w:rsidRPr="00D4407F">
              <w:rPr>
                <w:rFonts w:cs="Arial"/>
                <w:b/>
                <w:color w:val="auto"/>
                <w:sz w:val="22"/>
                <w:lang w:val="pt-BR"/>
              </w:rPr>
              <w:t xml:space="preserve">Destaque: </w:t>
            </w:r>
            <w:r w:rsidRPr="00D4407F">
              <w:rPr>
                <w:rFonts w:cs="Arial"/>
                <w:color w:val="auto"/>
                <w:sz w:val="22"/>
                <w:lang w:val="pt-BR"/>
              </w:rPr>
              <w:t>O cupuaçu passa a integrar a PAM entre as lavouras permanentes, possibilitando seu acompanhamento municipal na produção agrícola a partir de 2025.</w:t>
            </w:r>
          </w:p>
        </w:tc>
      </w:tr>
    </w:tbl>
    <w:p w14:paraId="2C26438B" w14:textId="73F17E33" w:rsidR="008757B5" w:rsidRPr="00AC5D21" w:rsidRDefault="00000000" w:rsidP="008272C1">
      <w:pPr>
        <w:pStyle w:val="Ttulo2"/>
        <w:rPr>
          <w:rFonts w:ascii="Arial" w:hAnsi="Arial" w:cs="Arial"/>
          <w:color w:val="auto"/>
          <w:lang w:val="pt-BR"/>
        </w:rPr>
      </w:pPr>
      <w:r w:rsidRPr="00AC5D21">
        <w:rPr>
          <w:rFonts w:ascii="Arial" w:hAnsi="Arial" w:cs="Arial"/>
          <w:color w:val="auto"/>
          <w:lang w:val="pt-BR"/>
        </w:rPr>
        <w:lastRenderedPageBreak/>
        <w:t xml:space="preserve">2.2 Produção da Extração Vegetal e da Silvicultura </w:t>
      </w:r>
      <w:r w:rsidR="00A15A97">
        <w:rPr>
          <w:rFonts w:ascii="Arial" w:hAnsi="Arial" w:cs="Arial"/>
          <w:color w:val="auto"/>
          <w:lang w:val="pt-BR"/>
        </w:rPr>
        <w:t>–</w:t>
      </w:r>
      <w:r w:rsidRPr="00AC5D21">
        <w:rPr>
          <w:rFonts w:ascii="Arial" w:hAnsi="Arial" w:cs="Arial"/>
          <w:color w:val="auto"/>
          <w:lang w:val="pt-BR"/>
        </w:rPr>
        <w:t xml:space="preserve"> PEVS</w:t>
      </w:r>
    </w:p>
    <w:p w14:paraId="52FA00D7" w14:textId="77777777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2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Na PEVS, a atualização incorpora dez novos produtos e retira nove. O novo elenco amplia a identificação individualizada de itens alimentícios e oleaginosos relacionados à extração vegetal.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2693"/>
      </w:tblGrid>
      <w:tr w:rsidR="008757B5" w:rsidRPr="00AC5D21" w14:paraId="7139BA1C" w14:textId="77777777" w:rsidTr="00845E87">
        <w:trPr>
          <w:cantSplit/>
          <w:tblHeader/>
          <w:jc w:val="center"/>
        </w:trPr>
        <w:tc>
          <w:tcPr>
            <w:tcW w:w="2693" w:type="dxa"/>
            <w:shd w:val="clear" w:color="auto" w:fill="184E3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FF0DAC" w14:textId="77777777" w:rsidR="008757B5" w:rsidRPr="00AC5D21" w:rsidRDefault="00000000">
            <w:pPr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b/>
                <w:color w:val="auto"/>
                <w:sz w:val="20"/>
                <w:szCs w:val="20"/>
                <w:lang w:val="pt-BR"/>
              </w:rPr>
              <w:t>Produtos retirados</w:t>
            </w:r>
          </w:p>
        </w:tc>
        <w:tc>
          <w:tcPr>
            <w:tcW w:w="2693" w:type="dxa"/>
            <w:shd w:val="clear" w:color="auto" w:fill="184E3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BC69F5" w14:textId="77777777" w:rsidR="008757B5" w:rsidRPr="00AC5D21" w:rsidRDefault="00000000">
            <w:pPr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b/>
                <w:color w:val="auto"/>
                <w:sz w:val="20"/>
                <w:szCs w:val="20"/>
                <w:lang w:val="pt-BR"/>
              </w:rPr>
              <w:t>Produtos incluídos</w:t>
            </w:r>
          </w:p>
        </w:tc>
      </w:tr>
      <w:tr w:rsidR="008757B5" w:rsidRPr="005B6A87" w14:paraId="5F67443F" w14:textId="77777777" w:rsidTr="00845E87">
        <w:trPr>
          <w:cantSplit/>
          <w:jc w:val="center"/>
        </w:trPr>
        <w:tc>
          <w:tcPr>
            <w:tcW w:w="2693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A5C9C5" w14:textId="77777777" w:rsidR="008757B5" w:rsidRPr="00AC5D21" w:rsidRDefault="00000000">
            <w:pPr>
              <w:spacing w:after="0"/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t>Ipecacuanha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Caucho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Hevea - látex líquido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Mangabeira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Balata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Maçaranduba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Sorva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Oiticica (semente)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Barbatimão</w:t>
            </w:r>
          </w:p>
        </w:tc>
        <w:tc>
          <w:tcPr>
            <w:tcW w:w="2693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3A5F4F" w14:textId="77777777" w:rsidR="008757B5" w:rsidRPr="00AC5D21" w:rsidRDefault="00000000">
            <w:pPr>
              <w:spacing w:after="0"/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t>Buriti (fruto)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Macaúba (fruto)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Andiroba (amêndoa)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Murumuru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Juçara (fruto)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Baru ou Cumaru (amêndoa)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Tucumã ou Tucum (fruto)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Cupuaçu (fruto)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Cajá (fruto)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br/>
              <w:t>Pupunha (fruto)</w:t>
            </w:r>
          </w:p>
        </w:tc>
      </w:tr>
    </w:tbl>
    <w:p w14:paraId="5D60CECA" w14:textId="77777777" w:rsidR="008272C1" w:rsidRPr="00AC5D21" w:rsidRDefault="008272C1" w:rsidP="00845E87">
      <w:pPr>
        <w:jc w:val="both"/>
        <w:rPr>
          <w:rFonts w:cs="Arial"/>
          <w:color w:val="auto"/>
          <w:sz w:val="20"/>
          <w:szCs w:val="20"/>
          <w:lang w:val="pt-BR"/>
        </w:rPr>
      </w:pPr>
    </w:p>
    <w:p w14:paraId="17B209F8" w14:textId="088E7D12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2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Na silvicultura, Acácia negra, Cedro australiano, Mogno Africano e Teca passam a receber destaque específico. Além da produção, o IBGE informa que também serão investigados o destino dado à madeira e a área plantada.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98"/>
      </w:tblGrid>
      <w:tr w:rsidR="008757B5" w:rsidRPr="005B6A87" w14:paraId="25ACEA84" w14:textId="77777777">
        <w:trPr>
          <w:cantSplit/>
          <w:jc w:val="center"/>
        </w:trPr>
        <w:tc>
          <w:tcPr>
            <w:tcW w:w="10166" w:type="dxa"/>
            <w:shd w:val="clear" w:color="auto" w:fill="EAF1ED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43523D8" w14:textId="77777777" w:rsidR="008757B5" w:rsidRPr="00D4407F" w:rsidRDefault="00000000" w:rsidP="00D4407F">
            <w:pPr>
              <w:spacing w:after="0"/>
              <w:jc w:val="right"/>
              <w:rPr>
                <w:rFonts w:cs="Arial"/>
                <w:color w:val="auto"/>
                <w:sz w:val="22"/>
                <w:lang w:val="pt-BR"/>
              </w:rPr>
            </w:pPr>
            <w:r w:rsidRPr="00D4407F">
              <w:rPr>
                <w:rFonts w:cs="Arial"/>
                <w:b/>
                <w:color w:val="auto"/>
                <w:sz w:val="22"/>
                <w:lang w:val="pt-BR"/>
              </w:rPr>
              <w:t xml:space="preserve">Sociobiodiversidade em foco: </w:t>
            </w:r>
            <w:r w:rsidRPr="00D4407F">
              <w:rPr>
                <w:rFonts w:cs="Arial"/>
                <w:color w:val="auto"/>
                <w:sz w:val="22"/>
                <w:lang w:val="pt-BR"/>
              </w:rPr>
              <w:t>A individualização de buriti, andiroba, murumuru, tucumã, cupuaçu e pupunha, entre outros, amplia o potencial de leitura econômica e territorial dessas cadeias nas estatísticas oficiais da PEVS.</w:t>
            </w:r>
          </w:p>
        </w:tc>
      </w:tr>
    </w:tbl>
    <w:p w14:paraId="1CA04BE7" w14:textId="77777777" w:rsidR="008757B5" w:rsidRPr="00AC5D21" w:rsidRDefault="00000000">
      <w:pPr>
        <w:pStyle w:val="Ttulo1"/>
        <w:rPr>
          <w:rFonts w:ascii="Arial" w:hAnsi="Arial" w:cs="Arial"/>
          <w:color w:val="auto"/>
          <w:lang w:val="pt-BR"/>
        </w:rPr>
      </w:pPr>
      <w:r w:rsidRPr="00AC5D21">
        <w:rPr>
          <w:rFonts w:ascii="Arial" w:hAnsi="Arial" w:cs="Arial"/>
          <w:color w:val="auto"/>
          <w:lang w:val="pt-BR"/>
        </w:rPr>
        <w:t>3. O que a mudança representa para o agro paraense</w:t>
      </w:r>
    </w:p>
    <w:p w14:paraId="4C8C933E" w14:textId="77777777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2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A atualização cria uma nova referência para o uso das séries históricas. Os produtos retirados continuarão disponíveis nos bancos de dados do IBGE, tendo 2024 como último ano divulgado; para os produtos incorporados, 2025 será o primeiro ano de divulgação. Portanto, a ausência de registros individualizados antes de 2025 não deve ser interpretada automaticamente como ausência de produção.</w:t>
      </w:r>
    </w:p>
    <w:p w14:paraId="47F97F73" w14:textId="77777777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2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Para o agro paraense, o principal ganho é informacional. A nova estrutura amplia as possibilidades de monitoramento de cadeias agrícolas e extrativas em boletins, diagnósticos municipais e regionais, painéis de indicadores e estudos de cadeias produtivas. Na PEVS, a individualização de produtos associados à sociobiodiversidade permite uma leitura mais específica de atividades que antes não apareciam com o mesmo nível de detalhamento.</w:t>
      </w:r>
    </w:p>
    <w:p w14:paraId="499B3505" w14:textId="77777777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0"/>
          <w:szCs w:val="20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O cupuaçu ajuda a ilustrar o cuidado necessário. Na PAM, ele passa a integrar as lavouras permanentes; na PEVS, aparece entre os produtos alimentícios da extração vegetal. Em análises consolidadas, as duas origens devem ser apresentadas separadamente, preservando a natureza da produção e evitando dupla contagem.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98"/>
      </w:tblGrid>
      <w:tr w:rsidR="008757B5" w:rsidRPr="005B6A87" w14:paraId="602ECC2D" w14:textId="77777777">
        <w:trPr>
          <w:cantSplit/>
          <w:jc w:val="center"/>
        </w:trPr>
        <w:tc>
          <w:tcPr>
            <w:tcW w:w="10166" w:type="dxa"/>
            <w:shd w:val="clear" w:color="auto" w:fill="F7F1E3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24DDD47" w14:textId="77777777" w:rsidR="008757B5" w:rsidRPr="00D4407F" w:rsidRDefault="00000000" w:rsidP="00D4407F">
            <w:pPr>
              <w:spacing w:after="0"/>
              <w:jc w:val="right"/>
              <w:rPr>
                <w:rFonts w:cs="Arial"/>
                <w:color w:val="auto"/>
                <w:sz w:val="22"/>
                <w:lang w:val="pt-BR"/>
              </w:rPr>
            </w:pPr>
            <w:r w:rsidRPr="00D4407F">
              <w:rPr>
                <w:rFonts w:cs="Arial"/>
                <w:b/>
                <w:color w:val="auto"/>
                <w:sz w:val="22"/>
                <w:lang w:val="pt-BR"/>
              </w:rPr>
              <w:t xml:space="preserve">Atenção metodológica: </w:t>
            </w:r>
            <w:r w:rsidRPr="00D4407F">
              <w:rPr>
                <w:rFonts w:cs="Arial"/>
                <w:color w:val="auto"/>
                <w:sz w:val="22"/>
                <w:lang w:val="pt-BR"/>
              </w:rPr>
              <w:t>Comparações entre 2024 e 2025 devem considerar a alteração de cobertura e classificação das pesquisas. Mudanças nos totais podem refletir, em parte, a revisão do elenco de produtos e não apenas variações efetivas de produção.</w:t>
            </w:r>
          </w:p>
        </w:tc>
      </w:tr>
    </w:tbl>
    <w:p w14:paraId="206CB7FB" w14:textId="77777777" w:rsidR="008757B5" w:rsidRPr="00AC5D21" w:rsidRDefault="00000000">
      <w:pPr>
        <w:pStyle w:val="Ttulo1"/>
        <w:rPr>
          <w:rFonts w:ascii="Arial" w:hAnsi="Arial" w:cs="Arial"/>
          <w:color w:val="auto"/>
          <w:lang w:val="pt-BR"/>
        </w:rPr>
      </w:pPr>
      <w:r w:rsidRPr="00AC5D21">
        <w:rPr>
          <w:rFonts w:ascii="Arial" w:hAnsi="Arial" w:cs="Arial"/>
          <w:color w:val="auto"/>
          <w:lang w:val="pt-BR"/>
        </w:rPr>
        <w:lastRenderedPageBreak/>
        <w:t>4. Considerações finais</w:t>
      </w:r>
    </w:p>
    <w:p w14:paraId="05DADBD9" w14:textId="77777777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2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A atualização da PAM e da PEVS amplia a granularidade das estatísticas sobre a produção agrícola, a extração vegetal e a silvicultura. A partir de 2025, novos produtos passam a contar com divulgação individualizada, criando uma base mais detalhada para o acompanhamento de cadeias produtivas e para análises territoriais.</w:t>
      </w:r>
    </w:p>
    <w:p w14:paraId="3830C822" w14:textId="77777777" w:rsidR="008757B5" w:rsidRPr="00AC5D21" w:rsidRDefault="00000000" w:rsidP="005B7757">
      <w:pPr>
        <w:spacing w:line="276" w:lineRule="auto"/>
        <w:ind w:firstLine="720"/>
        <w:jc w:val="both"/>
        <w:rPr>
          <w:rFonts w:cs="Arial"/>
          <w:color w:val="auto"/>
          <w:sz w:val="20"/>
          <w:szCs w:val="20"/>
          <w:lang w:val="pt-BR"/>
        </w:rPr>
      </w:pPr>
      <w:r w:rsidRPr="00AC5D21">
        <w:rPr>
          <w:rFonts w:cs="Arial"/>
          <w:color w:val="auto"/>
          <w:sz w:val="22"/>
          <w:lang w:val="pt-BR"/>
        </w:rPr>
        <w:t>Para o Observatório do Agro Paraense, a nova estrutura representa oportunidade de ampliar o monitoramento de segmentos produtivos e, ao mesmo tempo, exige cautela metodológica na construção de séries históricas. O ano de 2025 deve ser tratado como marco de referência para os produtos recém-incorporados.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98"/>
      </w:tblGrid>
      <w:tr w:rsidR="008757B5" w:rsidRPr="005B6A87" w14:paraId="733DE9B2" w14:textId="77777777">
        <w:trPr>
          <w:cantSplit/>
          <w:jc w:val="center"/>
        </w:trPr>
        <w:tc>
          <w:tcPr>
            <w:tcW w:w="10166" w:type="dxa"/>
            <w:shd w:val="clear" w:color="auto" w:fill="F7F1E3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27A91F3" w14:textId="77777777" w:rsidR="008757B5" w:rsidRPr="00AC5D21" w:rsidRDefault="00000000" w:rsidP="00D4407F">
            <w:pPr>
              <w:spacing w:after="0"/>
              <w:jc w:val="right"/>
              <w:rPr>
                <w:rFonts w:cs="Arial"/>
                <w:color w:val="auto"/>
                <w:sz w:val="20"/>
                <w:szCs w:val="20"/>
                <w:lang w:val="pt-BR"/>
              </w:rPr>
            </w:pPr>
            <w:r w:rsidRPr="005B7757">
              <w:rPr>
                <w:rFonts w:cs="Arial"/>
                <w:b/>
                <w:color w:val="auto"/>
                <w:sz w:val="22"/>
                <w:lang w:val="pt-BR"/>
              </w:rPr>
              <w:t xml:space="preserve">Nota para tabelas e gráficos: </w:t>
            </w:r>
            <w:r w:rsidRPr="005B7757">
              <w:rPr>
                <w:rFonts w:cs="Arial"/>
                <w:color w:val="auto"/>
                <w:sz w:val="22"/>
                <w:lang w:val="pt-BR"/>
              </w:rPr>
              <w:t>A partir do ano de referência 2025, o IBGE atualizou o elenco de produtos divulgados pela Produção Agrícola Municipal (PAM) e pela Pesquisa da Produção da Extração Vegetal e da Silvicultura (PEVS). Comparações com anos anteriores devem considerar alterações na cobertura e na classificação dos produtos</w:t>
            </w:r>
            <w:r w:rsidRPr="00AC5D21">
              <w:rPr>
                <w:rFonts w:cs="Arial"/>
                <w:color w:val="auto"/>
                <w:sz w:val="20"/>
                <w:szCs w:val="20"/>
                <w:lang w:val="pt-BR"/>
              </w:rPr>
              <w:t>.</w:t>
            </w:r>
          </w:p>
        </w:tc>
      </w:tr>
    </w:tbl>
    <w:p w14:paraId="293B4A60" w14:textId="77777777" w:rsidR="008757B5" w:rsidRPr="00AC5D21" w:rsidRDefault="008757B5">
      <w:pPr>
        <w:spacing w:after="0"/>
        <w:rPr>
          <w:rFonts w:cs="Arial"/>
          <w:color w:val="auto"/>
          <w:lang w:val="pt-BR"/>
        </w:rPr>
      </w:pPr>
    </w:p>
    <w:p w14:paraId="42859203" w14:textId="77777777" w:rsidR="008A09D2" w:rsidRDefault="008A09D2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2E9D72A2" w14:textId="77777777" w:rsidR="008A09D2" w:rsidRDefault="008A09D2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5DC80A02" w14:textId="77777777" w:rsidR="008A09D2" w:rsidRDefault="008A09D2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2BC55FEA" w14:textId="77777777" w:rsidR="008A09D2" w:rsidRDefault="008A09D2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0E82EE79" w14:textId="77777777" w:rsidR="008A09D2" w:rsidRDefault="008A09D2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2A2F6A76" w14:textId="77777777" w:rsidR="008A09D2" w:rsidRDefault="008A09D2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33561A27" w14:textId="77777777" w:rsidR="008A09D2" w:rsidRDefault="008A09D2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7AA34E54" w14:textId="77777777" w:rsidR="008A09D2" w:rsidRDefault="008A09D2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098ABA4A" w14:textId="77777777" w:rsidR="00E03934" w:rsidRDefault="00E03934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2B4957F7" w14:textId="77777777" w:rsidR="00E03934" w:rsidRDefault="00E03934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2FEE9A3B" w14:textId="77777777" w:rsidR="00E03934" w:rsidRDefault="00E03934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4D9FD3EB" w14:textId="77777777" w:rsidR="008A09D2" w:rsidRDefault="008A09D2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2763EF95" w14:textId="06325B49" w:rsidR="00D4407F" w:rsidRDefault="00D4407F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  <w:r w:rsidRPr="00D4407F">
        <w:rPr>
          <w:rFonts w:cs="Arial"/>
          <w:b/>
          <w:bCs/>
          <w:sz w:val="20"/>
          <w:szCs w:val="20"/>
          <w:lang w:val="pt-BR"/>
        </w:rPr>
        <w:t>Créditos</w:t>
      </w:r>
    </w:p>
    <w:p w14:paraId="16A0DCE5" w14:textId="77777777" w:rsidR="00D4407F" w:rsidRDefault="00D4407F" w:rsidP="00D4407F">
      <w:pPr>
        <w:spacing w:after="40"/>
        <w:jc w:val="both"/>
        <w:rPr>
          <w:rFonts w:cs="Arial"/>
          <w:sz w:val="20"/>
          <w:szCs w:val="20"/>
          <w:lang w:val="pt-BR"/>
        </w:rPr>
      </w:pPr>
      <w:r w:rsidRPr="00D4407F">
        <w:rPr>
          <w:rFonts w:cs="Arial"/>
          <w:b/>
          <w:bCs/>
          <w:sz w:val="20"/>
          <w:szCs w:val="20"/>
          <w:lang w:val="pt-BR"/>
        </w:rPr>
        <w:t>Realização:</w:t>
      </w:r>
      <w:r w:rsidRPr="00D4407F">
        <w:rPr>
          <w:rFonts w:cs="Arial"/>
          <w:sz w:val="20"/>
          <w:szCs w:val="20"/>
          <w:lang w:val="pt-BR"/>
        </w:rPr>
        <w:t xml:space="preserve"> Sistema FAEPA/SENAR | Observatório do Agro Paraense</w:t>
      </w:r>
    </w:p>
    <w:p w14:paraId="037FD1AA" w14:textId="5C4CB7B3" w:rsidR="00D4407F" w:rsidRPr="005B7757" w:rsidRDefault="00D4407F" w:rsidP="00D4407F">
      <w:pPr>
        <w:spacing w:after="40"/>
        <w:jc w:val="both"/>
        <w:rPr>
          <w:rFonts w:cs="Arial"/>
          <w:sz w:val="20"/>
          <w:szCs w:val="20"/>
          <w:lang w:val="pt-BR"/>
        </w:rPr>
      </w:pPr>
      <w:r w:rsidRPr="00D4407F">
        <w:rPr>
          <w:rFonts w:cs="Arial"/>
          <w:b/>
          <w:bCs/>
          <w:sz w:val="20"/>
          <w:szCs w:val="20"/>
          <w:lang w:val="pt-BR"/>
        </w:rPr>
        <w:t>Coordenação:</w:t>
      </w:r>
      <w:r>
        <w:rPr>
          <w:rFonts w:cs="Arial"/>
          <w:sz w:val="20"/>
          <w:szCs w:val="20"/>
          <w:lang w:val="pt-BR"/>
        </w:rPr>
        <w:t xml:space="preserve"> </w:t>
      </w:r>
      <w:r w:rsidR="005B7757" w:rsidRPr="005B7757">
        <w:rPr>
          <w:rFonts w:cs="Arial"/>
          <w:sz w:val="20"/>
          <w:szCs w:val="20"/>
          <w:lang w:val="pt-BR"/>
        </w:rPr>
        <w:t>Cilene de Jesus Jardim Dórea</w:t>
      </w:r>
    </w:p>
    <w:p w14:paraId="3A444D99" w14:textId="3446FEE8" w:rsidR="00D4407F" w:rsidRPr="00D4407F" w:rsidRDefault="00D4407F" w:rsidP="00D4407F">
      <w:pPr>
        <w:spacing w:after="40"/>
        <w:jc w:val="both"/>
        <w:rPr>
          <w:rFonts w:cs="Arial"/>
          <w:sz w:val="20"/>
          <w:szCs w:val="20"/>
          <w:lang w:val="pt-BR"/>
        </w:rPr>
      </w:pPr>
      <w:r w:rsidRPr="00D4407F">
        <w:rPr>
          <w:rFonts w:cs="Arial"/>
          <w:b/>
          <w:bCs/>
          <w:sz w:val="20"/>
          <w:szCs w:val="20"/>
          <w:lang w:val="pt-BR"/>
        </w:rPr>
        <w:t>Elaboração técnica:</w:t>
      </w:r>
      <w:r w:rsidRPr="00D4407F">
        <w:rPr>
          <w:rFonts w:cs="Arial"/>
          <w:sz w:val="20"/>
          <w:szCs w:val="20"/>
          <w:lang w:val="pt-BR"/>
        </w:rPr>
        <w:t xml:space="preserve"> João Ulisses Barata da Silva – Estatístico</w:t>
      </w:r>
    </w:p>
    <w:p w14:paraId="5E6A5261" w14:textId="77777777" w:rsidR="005B7757" w:rsidRDefault="005B7757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</w:p>
    <w:p w14:paraId="3C4B43A0" w14:textId="7190E33B" w:rsidR="00D4407F" w:rsidRDefault="00D4407F" w:rsidP="00D4407F">
      <w:pPr>
        <w:spacing w:after="40"/>
        <w:jc w:val="both"/>
        <w:rPr>
          <w:rFonts w:cs="Arial"/>
          <w:b/>
          <w:bCs/>
          <w:sz w:val="20"/>
          <w:szCs w:val="20"/>
          <w:lang w:val="pt-BR"/>
        </w:rPr>
      </w:pPr>
      <w:r w:rsidRPr="00D4407F">
        <w:rPr>
          <w:rFonts w:cs="Arial"/>
          <w:b/>
          <w:bCs/>
          <w:sz w:val="20"/>
          <w:szCs w:val="20"/>
          <w:lang w:val="pt-BR"/>
        </w:rPr>
        <w:t>Fonte dos dados e informações:</w:t>
      </w:r>
    </w:p>
    <w:p w14:paraId="23AD2630" w14:textId="4ADEA385" w:rsidR="00D4407F" w:rsidRPr="00845E87" w:rsidRDefault="00A15A97" w:rsidP="00845E87">
      <w:pPr>
        <w:spacing w:after="40"/>
        <w:jc w:val="both"/>
        <w:rPr>
          <w:rFonts w:cs="Arial"/>
          <w:sz w:val="20"/>
          <w:szCs w:val="20"/>
          <w:lang w:val="pt-BR"/>
        </w:rPr>
      </w:pPr>
      <w:r w:rsidRPr="00A15A97">
        <w:rPr>
          <w:rFonts w:cs="Arial"/>
          <w:sz w:val="20"/>
          <w:szCs w:val="20"/>
          <w:lang w:val="pt-BR"/>
        </w:rPr>
        <w:t xml:space="preserve">Instituto Brasileiro de Geografia e Estatística – IBGE. </w:t>
      </w:r>
      <w:r w:rsidRPr="00A15A97">
        <w:rPr>
          <w:rFonts w:cs="Arial"/>
          <w:i/>
          <w:iCs/>
          <w:sz w:val="20"/>
          <w:szCs w:val="20"/>
          <w:lang w:val="pt-BR"/>
        </w:rPr>
        <w:t>Pesquisa da Produção Agrícola Municipal – PAM</w:t>
      </w:r>
      <w:r w:rsidRPr="00A15A97">
        <w:rPr>
          <w:rFonts w:cs="Arial"/>
          <w:sz w:val="20"/>
          <w:szCs w:val="20"/>
          <w:lang w:val="pt-BR"/>
        </w:rPr>
        <w:t xml:space="preserve"> e </w:t>
      </w:r>
      <w:r w:rsidRPr="00A15A97">
        <w:rPr>
          <w:rFonts w:cs="Arial"/>
          <w:i/>
          <w:iCs/>
          <w:sz w:val="20"/>
          <w:szCs w:val="20"/>
          <w:lang w:val="pt-BR"/>
        </w:rPr>
        <w:t>Pesquisa da Produção da Extração Vegetal e da Silvicultura – PEVS</w:t>
      </w:r>
      <w:r w:rsidRPr="00A15A97">
        <w:rPr>
          <w:rFonts w:cs="Arial"/>
          <w:sz w:val="20"/>
          <w:szCs w:val="20"/>
          <w:lang w:val="pt-BR"/>
        </w:rPr>
        <w:t xml:space="preserve">. </w:t>
      </w:r>
      <w:r w:rsidRPr="00A15A97">
        <w:rPr>
          <w:rFonts w:cs="Arial"/>
          <w:sz w:val="20"/>
          <w:szCs w:val="20"/>
        </w:rPr>
        <w:t>Notas Técnicas nº 01/2026. Diretoria de Pesquisas, 2 de setembro de 2026.</w:t>
      </w:r>
    </w:p>
    <w:sectPr w:rsidR="00D4407F" w:rsidRPr="00845E87" w:rsidSect="00D440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317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73696" w14:textId="77777777" w:rsidR="0015681F" w:rsidRDefault="0015681F">
      <w:pPr>
        <w:spacing w:after="0" w:line="240" w:lineRule="auto"/>
      </w:pPr>
      <w:r>
        <w:separator/>
      </w:r>
    </w:p>
  </w:endnote>
  <w:endnote w:type="continuationSeparator" w:id="0">
    <w:p w14:paraId="5D450BB1" w14:textId="77777777" w:rsidR="0015681F" w:rsidRDefault="00156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89DF" w14:textId="77777777" w:rsidR="00D4407F" w:rsidRDefault="00D440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6C1D" w14:textId="77777777" w:rsidR="008757B5" w:rsidRPr="00845E87" w:rsidRDefault="00000000" w:rsidP="00D4407F">
    <w:pPr>
      <w:pStyle w:val="Rodap"/>
      <w:pBdr>
        <w:top w:val="single" w:sz="8" w:space="1" w:color="00635A"/>
      </w:pBdr>
      <w:jc w:val="center"/>
      <w:rPr>
        <w:lang w:val="pt-BR"/>
      </w:rPr>
    </w:pPr>
    <w:r w:rsidRPr="00845E87">
      <w:rPr>
        <w:color w:val="5A5A5A"/>
        <w:sz w:val="15"/>
        <w:lang w:val="pt-BR"/>
      </w:rPr>
      <w:t xml:space="preserve">Observatório do Agro Paraense  |  Nota Técnica   •   Página </w:t>
    </w:r>
    <w:r>
      <w:rPr>
        <w:color w:val="5A5A5A"/>
        <w:sz w:val="15"/>
      </w:rPr>
      <w:fldChar w:fldCharType="begin"/>
    </w:r>
    <w:r w:rsidRPr="00845E87">
      <w:rPr>
        <w:color w:val="5A5A5A"/>
        <w:sz w:val="15"/>
        <w:lang w:val="pt-BR"/>
      </w:rPr>
      <w:instrText>PAGE</w:instrText>
    </w:r>
    <w:r>
      <w:rPr>
        <w:color w:val="5A5A5A"/>
        <w:sz w:val="15"/>
      </w:rPr>
      <w:fldChar w:fldCharType="separate"/>
    </w:r>
    <w:r w:rsidR="00845E87" w:rsidRPr="00845E87">
      <w:rPr>
        <w:noProof/>
        <w:color w:val="5A5A5A"/>
        <w:sz w:val="15"/>
        <w:lang w:val="pt-BR"/>
      </w:rPr>
      <w:t>1</w:t>
    </w:r>
    <w:r>
      <w:rPr>
        <w:color w:val="5A5A5A"/>
        <w:sz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48F9" w14:textId="77777777" w:rsidR="00D4407F" w:rsidRDefault="00D440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5655B" w14:textId="77777777" w:rsidR="0015681F" w:rsidRDefault="0015681F">
      <w:pPr>
        <w:spacing w:after="0" w:line="240" w:lineRule="auto"/>
      </w:pPr>
      <w:r>
        <w:separator/>
      </w:r>
    </w:p>
  </w:footnote>
  <w:footnote w:type="continuationSeparator" w:id="0">
    <w:p w14:paraId="5E9ADD41" w14:textId="77777777" w:rsidR="0015681F" w:rsidRDefault="00156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805D" w14:textId="77777777" w:rsidR="00D4407F" w:rsidRDefault="00D440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76F82" w14:textId="6D68E962" w:rsidR="008757B5" w:rsidRPr="00D4407F" w:rsidRDefault="00D4407F" w:rsidP="00D4407F">
    <w:pPr>
      <w:pStyle w:val="Cabealho"/>
      <w:jc w:val="center"/>
    </w:pPr>
    <w:r>
      <w:rPr>
        <w:noProof/>
      </w:rPr>
      <w:drawing>
        <wp:inline distT="0" distB="0" distL="0" distR="0" wp14:anchorId="6CCE4331" wp14:editId="3FF4B2E6">
          <wp:extent cx="5400040" cy="591185"/>
          <wp:effectExtent l="0" t="0" r="0" b="0"/>
          <wp:docPr id="1546770225" name="Imagem 15467702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380515" name="Imagem 20473805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F8C3" w14:textId="77777777" w:rsidR="00D4407F" w:rsidRDefault="00D440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2696775">
    <w:abstractNumId w:val="8"/>
  </w:num>
  <w:num w:numId="2" w16cid:durableId="1534729509">
    <w:abstractNumId w:val="6"/>
  </w:num>
  <w:num w:numId="3" w16cid:durableId="400521594">
    <w:abstractNumId w:val="5"/>
  </w:num>
  <w:num w:numId="4" w16cid:durableId="633413252">
    <w:abstractNumId w:val="4"/>
  </w:num>
  <w:num w:numId="5" w16cid:durableId="1240947361">
    <w:abstractNumId w:val="7"/>
  </w:num>
  <w:num w:numId="6" w16cid:durableId="500631703">
    <w:abstractNumId w:val="3"/>
  </w:num>
  <w:num w:numId="7" w16cid:durableId="1410153643">
    <w:abstractNumId w:val="2"/>
  </w:num>
  <w:num w:numId="8" w16cid:durableId="1562714114">
    <w:abstractNumId w:val="1"/>
  </w:num>
  <w:num w:numId="9" w16cid:durableId="181209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31E7"/>
    <w:rsid w:val="0015681F"/>
    <w:rsid w:val="0029639D"/>
    <w:rsid w:val="00326F90"/>
    <w:rsid w:val="00502175"/>
    <w:rsid w:val="005B6A87"/>
    <w:rsid w:val="005B7757"/>
    <w:rsid w:val="008272C1"/>
    <w:rsid w:val="0083277C"/>
    <w:rsid w:val="00845E87"/>
    <w:rsid w:val="008757B5"/>
    <w:rsid w:val="008A09D2"/>
    <w:rsid w:val="00992EF3"/>
    <w:rsid w:val="009F11CD"/>
    <w:rsid w:val="00A15A97"/>
    <w:rsid w:val="00AA1D8D"/>
    <w:rsid w:val="00AC5D21"/>
    <w:rsid w:val="00B47730"/>
    <w:rsid w:val="00CB0664"/>
    <w:rsid w:val="00D4407F"/>
    <w:rsid w:val="00E03934"/>
    <w:rsid w:val="00E403FE"/>
    <w:rsid w:val="00F542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EBA17F"/>
  <w14:defaultImageDpi w14:val="300"/>
  <w15:docId w15:val="{ECF20D7E-6397-4737-8D71-7F07C2DD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90" w:line="252" w:lineRule="auto"/>
    </w:pPr>
    <w:rPr>
      <w:rFonts w:ascii="Arial" w:hAnsi="Arial"/>
      <w:color w:val="2D2D2D"/>
      <w:sz w:val="19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/>
      <w:b/>
      <w:bCs/>
      <w:color w:val="184E37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184E37"/>
      <w:sz w:val="23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pPr>
      <w:spacing w:before="40" w:after="120" w:line="235" w:lineRule="auto"/>
    </w:pPr>
    <w:rPr>
      <w:rFonts w:ascii="Arial" w:hAnsi="Arial"/>
      <w:b/>
      <w:color w:val="184E37"/>
      <w:sz w:val="44"/>
    </w:rPr>
  </w:style>
  <w:style w:type="paragraph" w:customStyle="1" w:styleId="Deck">
    <w:name w:val="Deck"/>
    <w:pPr>
      <w:spacing w:after="140" w:line="240" w:lineRule="auto"/>
    </w:pPr>
    <w:rPr>
      <w:rFonts w:ascii="Arial" w:hAnsi="Arial"/>
      <w:i/>
      <w:color w:val="5A5A5A"/>
      <w:sz w:val="21"/>
    </w:rPr>
  </w:style>
  <w:style w:type="paragraph" w:customStyle="1" w:styleId="Kicker">
    <w:name w:val="Kicker"/>
    <w:pPr>
      <w:spacing w:after="60"/>
    </w:pPr>
    <w:rPr>
      <w:rFonts w:ascii="Arial" w:hAnsi="Arial"/>
      <w:b/>
      <w:color w:val="B28D39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970</Words>
  <Characters>5239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Conta Docente</cp:lastModifiedBy>
  <cp:revision>8</cp:revision>
  <dcterms:created xsi:type="dcterms:W3CDTF">2013-12-23T23:15:00Z</dcterms:created>
  <dcterms:modified xsi:type="dcterms:W3CDTF">2026-09-03T04:57:00Z</dcterms:modified>
  <cp:category/>
</cp:coreProperties>
</file>